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98B9" w14:textId="77777777" w:rsidR="000611EC" w:rsidRPr="00632236" w:rsidRDefault="000611EC" w:rsidP="000611EC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5DD3E066" w14:textId="77777777" w:rsidR="000611EC" w:rsidRPr="00632236" w:rsidRDefault="000611EC" w:rsidP="000611EC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2454982D" w14:textId="77777777" w:rsidR="000611EC" w:rsidRPr="00632236" w:rsidRDefault="000611EC" w:rsidP="000611EC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C5EB822" w14:textId="0967DE8E" w:rsidR="000611EC" w:rsidRPr="00632236" w:rsidRDefault="000611EC" w:rsidP="000611EC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bookmarkStart w:id="1" w:name="_Hlk150338621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9616CC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Piyush Patel – 9925111077</w:t>
      </w:r>
    </w:p>
    <w:bookmarkEnd w:id="1"/>
    <w:p w14:paraId="38CADCA0" w14:textId="77777777" w:rsidR="000611EC" w:rsidRPr="00632236" w:rsidRDefault="000611EC" w:rsidP="000611EC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97EABA8" w14:textId="77777777" w:rsidR="000611EC" w:rsidRPr="00632236" w:rsidRDefault="000611EC" w:rsidP="000611EC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6B8C3B73" w14:textId="77777777" w:rsidR="000611EC" w:rsidRPr="00632236" w:rsidRDefault="000611EC" w:rsidP="000611EC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7DD1886F" w14:textId="77777777" w:rsidR="000611EC" w:rsidRPr="00632236" w:rsidRDefault="000611EC" w:rsidP="000611EC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6A6C0C9F" w14:textId="77777777" w:rsidR="000611EC" w:rsidRPr="00632236" w:rsidRDefault="000611EC" w:rsidP="000611EC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4E2D2B2B" w14:textId="77777777" w:rsidR="000611EC" w:rsidRPr="00632236" w:rsidRDefault="000611EC" w:rsidP="000611EC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Home Finance Private Limited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on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35DDF0AE" w14:textId="77777777" w:rsidR="000611EC" w:rsidRPr="00632236" w:rsidRDefault="000611EC" w:rsidP="000611EC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611EC" w:rsidRPr="00632236" w14:paraId="6A4D847A" w14:textId="77777777" w:rsidTr="004F219E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E6717CF" w14:textId="77777777" w:rsidR="000611EC" w:rsidRPr="002F3743" w:rsidRDefault="000611EC" w:rsidP="004F219E">
            <w:pPr>
              <w:ind w:left="97"/>
              <w:jc w:val="center"/>
              <w:rPr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</w:rPr>
              <w:t>Borrower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</w:rPr>
              <w:t>s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4091672" w14:textId="77777777" w:rsidR="000611EC" w:rsidRPr="002F3743" w:rsidRDefault="000611EC" w:rsidP="004F219E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BAF00BD" w14:textId="77777777" w:rsidR="000611EC" w:rsidRPr="002F3743" w:rsidRDefault="000611EC" w:rsidP="004F219E">
            <w:pPr>
              <w:ind w:left="429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23BC06BD" w14:textId="77777777" w:rsidR="000611EC" w:rsidRPr="002F3743" w:rsidRDefault="000611EC" w:rsidP="004F219E">
            <w:pPr>
              <w:ind w:right="2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F5B3D59" w14:textId="77777777" w:rsidR="000611EC" w:rsidRPr="002F3743" w:rsidRDefault="000611EC" w:rsidP="004F219E">
            <w:pPr>
              <w:ind w:left="89" w:right="7" w:hanging="2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0611EC" w:rsidRPr="00632236" w14:paraId="76F099B9" w14:textId="77777777" w:rsidTr="004F219E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3AE033FB" w14:textId="77777777" w:rsidR="000611EC" w:rsidRPr="002F3743" w:rsidRDefault="000611EC" w:rsidP="004F21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6370118" w14:textId="77777777" w:rsidR="000611EC" w:rsidRPr="002F3743" w:rsidRDefault="000611EC" w:rsidP="004F21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731D88D" w14:textId="77777777" w:rsidR="000611EC" w:rsidRPr="002F3743" w:rsidRDefault="000611EC" w:rsidP="004F21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4D631A" w14:textId="77777777" w:rsidR="000611EC" w:rsidRPr="002F3743" w:rsidRDefault="000611EC" w:rsidP="004F219E">
            <w:pPr>
              <w:ind w:right="2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9DFBA08" w14:textId="77777777" w:rsidR="000611EC" w:rsidRPr="002F3743" w:rsidRDefault="000611EC" w:rsidP="004F219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611EC" w:rsidRPr="00632236" w14:paraId="47BB45EB" w14:textId="77777777" w:rsidTr="004F219E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7463FBA" w14:textId="77777777" w:rsidR="000611EC" w:rsidRPr="002F3743" w:rsidRDefault="000611EC" w:rsidP="004F21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D077D3E" w14:textId="77777777" w:rsidR="000611EC" w:rsidRPr="002F3743" w:rsidRDefault="000611EC" w:rsidP="004F21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35C6F9E" w14:textId="77777777" w:rsidR="000611EC" w:rsidRPr="002F3743" w:rsidRDefault="000611EC" w:rsidP="004F21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C32CDCC" w14:textId="77777777" w:rsidR="000611EC" w:rsidRPr="002F3743" w:rsidRDefault="000611EC" w:rsidP="004F219E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40DFD4D" w14:textId="77777777" w:rsidR="000611EC" w:rsidRPr="002F3743" w:rsidRDefault="000611EC" w:rsidP="004F219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611EC" w:rsidRPr="00632236" w14:paraId="2613526C" w14:textId="77777777" w:rsidTr="004F219E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6762521" w14:textId="607AD524" w:rsidR="000611EC" w:rsidRPr="002F3743" w:rsidRDefault="000611EC" w:rsidP="004F219E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noProof/>
                <w:color w:val="000000" w:themeColor="text1"/>
              </w:rPr>
              <w:t>LNSUR0</w:t>
            </w:r>
            <w:r w:rsidR="007E103A">
              <w:rPr>
                <w:b/>
                <w:noProof/>
                <w:color w:val="000000" w:themeColor="text1"/>
              </w:rPr>
              <w:t>HL-02200013423</w:t>
            </w:r>
          </w:p>
          <w:p w14:paraId="2D7B5E3F" w14:textId="77777777" w:rsidR="000611EC" w:rsidRPr="002F3743" w:rsidRDefault="000611EC" w:rsidP="004F219E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70DB6915" w14:textId="0A70C5D8" w:rsidR="000611EC" w:rsidRPr="002F3743" w:rsidRDefault="007E103A" w:rsidP="004F219E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t>SURAT RANDER</w:t>
            </w:r>
          </w:p>
          <w:p w14:paraId="2C5B2E6F" w14:textId="77777777" w:rsidR="000611EC" w:rsidRPr="002F3743" w:rsidRDefault="000611EC" w:rsidP="004F219E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 xml:space="preserve"> BORROWER:</w:t>
            </w:r>
          </w:p>
          <w:p w14:paraId="41113011" w14:textId="528DCF86" w:rsidR="000611EC" w:rsidRPr="002F3743" w:rsidRDefault="007E103A" w:rsidP="004F219E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RAMRATAN MANGURAM INDALIYA</w:t>
            </w:r>
          </w:p>
          <w:p w14:paraId="4B6DCA8D" w14:textId="77777777" w:rsidR="000611EC" w:rsidRPr="002F3743" w:rsidRDefault="000611EC" w:rsidP="004F219E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4E005CE9" w14:textId="782C734C" w:rsidR="000611EC" w:rsidRPr="002F3743" w:rsidRDefault="007E103A" w:rsidP="004F219E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t>SEETA DEVI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EF940BD" w14:textId="7D3975E7" w:rsidR="000611EC" w:rsidRPr="002F3743" w:rsidRDefault="000611EC" w:rsidP="004F219E">
            <w:pPr>
              <w:ind w:left="65" w:right="131"/>
              <w:jc w:val="center"/>
              <w:rPr>
                <w:b/>
                <w:noProof/>
              </w:rPr>
            </w:pPr>
            <w:r w:rsidRPr="002F3743">
              <w:rPr>
                <w:b/>
                <w:noProof/>
              </w:rPr>
              <w:t>2</w:t>
            </w:r>
            <w:r w:rsidR="007E103A">
              <w:rPr>
                <w:b/>
                <w:noProof/>
              </w:rPr>
              <w:t>2</w:t>
            </w:r>
            <w:r w:rsidR="00A8016C">
              <w:rPr>
                <w:b/>
                <w:noProof/>
              </w:rPr>
              <w:t>/</w:t>
            </w:r>
            <w:r w:rsidR="007E103A">
              <w:rPr>
                <w:b/>
                <w:noProof/>
              </w:rPr>
              <w:t>11</w:t>
            </w:r>
            <w:r w:rsidRPr="002F3743">
              <w:rPr>
                <w:b/>
                <w:noProof/>
              </w:rPr>
              <w:t>/202</w:t>
            </w:r>
            <w:r w:rsidR="007E103A">
              <w:rPr>
                <w:b/>
                <w:noProof/>
              </w:rPr>
              <w:t>3</w:t>
            </w:r>
          </w:p>
          <w:p w14:paraId="3B359AA8" w14:textId="71130E11" w:rsidR="000611EC" w:rsidRPr="002F3743" w:rsidRDefault="000611EC" w:rsidP="004F219E">
            <w:pPr>
              <w:ind w:left="65" w:right="131"/>
              <w:jc w:val="center"/>
              <w:rPr>
                <w:b/>
              </w:rPr>
            </w:pPr>
            <w:r w:rsidRPr="002F3743">
              <w:rPr>
                <w:b/>
                <w:noProof/>
              </w:rPr>
              <w:t>Rs</w:t>
            </w:r>
            <w:r w:rsidR="007E103A">
              <w:rPr>
                <w:b/>
                <w:noProof/>
              </w:rPr>
              <w:t>. 13,60,188</w:t>
            </w:r>
            <w:r w:rsidRPr="002F3743">
              <w:rPr>
                <w:b/>
                <w:noProof/>
              </w:rPr>
              <w:t>/-</w:t>
            </w:r>
          </w:p>
          <w:p w14:paraId="127AEC96" w14:textId="57DC651E" w:rsidR="000611EC" w:rsidRPr="002F3743" w:rsidRDefault="000611EC" w:rsidP="004F219E">
            <w:pPr>
              <w:ind w:left="65" w:right="131"/>
              <w:jc w:val="center"/>
              <w:rPr>
                <w:bCs/>
              </w:rPr>
            </w:pPr>
            <w:r w:rsidRPr="002F3743">
              <w:rPr>
                <w:bCs/>
                <w:noProof/>
              </w:rPr>
              <w:t xml:space="preserve">(RUPEES </w:t>
            </w:r>
            <w:r w:rsidR="007E103A">
              <w:rPr>
                <w:bCs/>
                <w:noProof/>
              </w:rPr>
              <w:t xml:space="preserve">THIRTEEN LAKH SIXTY THOUSAND ONE HUNDRED EIGHTY EIGHT </w:t>
            </w:r>
            <w:r w:rsidRPr="002F3743">
              <w:rPr>
                <w:bCs/>
                <w:noProof/>
              </w:rPr>
              <w:t>ONLY)</w:t>
            </w:r>
            <w:r w:rsidRPr="002F3743">
              <w:rPr>
                <w:bCs/>
              </w:rPr>
              <w:t xml:space="preserve"> AS ON </w:t>
            </w:r>
            <w:r w:rsidR="007E103A">
              <w:rPr>
                <w:bCs/>
                <w:noProof/>
              </w:rPr>
              <w:t>09/11</w:t>
            </w:r>
            <w:r w:rsidRPr="002F3743">
              <w:rPr>
                <w:bCs/>
                <w:noProof/>
              </w:rPr>
              <w:t>/202</w:t>
            </w:r>
            <w:r w:rsidR="007E103A">
              <w:rPr>
                <w:bCs/>
                <w:noProof/>
              </w:rPr>
              <w:t>3</w:t>
            </w:r>
            <w:r w:rsidRPr="002F3743">
              <w:rPr>
                <w:bCs/>
                <w:noProof/>
              </w:rPr>
              <w:t xml:space="preserve"> </w:t>
            </w:r>
            <w:r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0D2E9E5" w14:textId="1D64B6F0" w:rsidR="000611EC" w:rsidRPr="002F3743" w:rsidRDefault="007E103A" w:rsidP="004F219E">
            <w:pPr>
              <w:jc w:val="both"/>
              <w:rPr>
                <w:rFonts w:eastAsia="Times New Roman"/>
                <w:bCs/>
                <w:color w:val="000000"/>
              </w:rPr>
            </w:pPr>
            <w:r w:rsidRPr="007E103A">
              <w:rPr>
                <w:rFonts w:eastAsia="Times New Roman"/>
                <w:bCs/>
                <w:color w:val="000000"/>
              </w:rPr>
              <w:t xml:space="preserve">ALL THAT PIECE AND PARCEL OF THE PROPERTY BEARING PLOT NO 125 OF THE SOCIETY KNOWN AS “SHREEJI RESIDENCY </w:t>
            </w:r>
            <w:proofErr w:type="gramStart"/>
            <w:r w:rsidRPr="007E103A">
              <w:rPr>
                <w:rFonts w:eastAsia="Times New Roman"/>
                <w:bCs/>
                <w:color w:val="000000"/>
              </w:rPr>
              <w:t>“ ADMEASURING</w:t>
            </w:r>
            <w:proofErr w:type="gramEnd"/>
            <w:r w:rsidRPr="007E103A">
              <w:rPr>
                <w:rFonts w:eastAsia="Times New Roman"/>
                <w:bCs/>
                <w:color w:val="000000"/>
              </w:rPr>
              <w:t xml:space="preserve"> 75.21 SQ MTRS ALONG WITH UNDIVIDED  PROPORTIONATE SHARE IN THE LAND FOR ROAD AND COP ADMEASURING 40.66 SQ. MTRS SITUATED AT HALDHARU BEARING SURVEY NO. 516/1 BLOCK NO. 38  AFTER PROMULGATION  NEW BLOCK NO.44 OF VILLAGE HALDHARU  TALUK KAMREJ, DISTRICT SURAT WHICH IS BOUNDED AS UNDER_ NORTH: OPEN SPACE , SOUTH:  PLOT NO. 124, EAST: ROAD , WEST:  PLOT NO. 75 &amp; 76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663C0E6" w14:textId="5C533F53" w:rsidR="000611EC" w:rsidRPr="002F3743" w:rsidRDefault="000611EC" w:rsidP="004F219E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 xml:space="preserve">Rs. </w:t>
            </w:r>
            <w:r w:rsidR="007E103A">
              <w:rPr>
                <w:b/>
                <w:bCs/>
                <w:color w:val="000000" w:themeColor="text1"/>
              </w:rPr>
              <w:t>11,56</w:t>
            </w:r>
            <w:r w:rsidRPr="002F3743">
              <w:rPr>
                <w:b/>
                <w:bCs/>
                <w:noProof/>
                <w:color w:val="000000" w:themeColor="text1"/>
              </w:rPr>
              <w:t>,</w:t>
            </w:r>
            <w:r w:rsidR="007E103A">
              <w:rPr>
                <w:b/>
                <w:bCs/>
                <w:noProof/>
                <w:color w:val="000000" w:themeColor="text1"/>
              </w:rPr>
              <w:t>5</w:t>
            </w:r>
            <w:r w:rsidRPr="002F3743">
              <w:rPr>
                <w:b/>
                <w:bCs/>
                <w:noProof/>
                <w:color w:val="000000" w:themeColor="text1"/>
              </w:rPr>
              <w:t>00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611EC" w:rsidRPr="002F3743" w14:paraId="65313D3D" w14:textId="77777777" w:rsidTr="004F219E">
              <w:trPr>
                <w:trHeight w:val="265"/>
              </w:trPr>
              <w:tc>
                <w:tcPr>
                  <w:tcW w:w="1836" w:type="dxa"/>
                </w:tcPr>
                <w:p w14:paraId="3BEBEEB4" w14:textId="2A4584DC" w:rsidR="000611EC" w:rsidRPr="002F3743" w:rsidRDefault="000611EC" w:rsidP="004F219E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7E103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1,15</w:t>
                  </w:r>
                  <w:r w:rsidR="00AA68D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7E103A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65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611EC" w:rsidRPr="002F3743" w14:paraId="0A9A6CB2" w14:textId="77777777" w:rsidTr="004F219E">
              <w:trPr>
                <w:trHeight w:val="250"/>
              </w:trPr>
              <w:tc>
                <w:tcPr>
                  <w:tcW w:w="1836" w:type="dxa"/>
                </w:tcPr>
                <w:p w14:paraId="2D0742CD" w14:textId="77777777" w:rsidR="000611EC" w:rsidRPr="002F3743" w:rsidRDefault="000611EC" w:rsidP="004F219E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148A14F" w14:textId="77777777" w:rsidR="000611EC" w:rsidRPr="002F3743" w:rsidRDefault="000611EC" w:rsidP="004F219E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3A6139D4" w14:textId="77777777" w:rsidR="000611EC" w:rsidRPr="002F3743" w:rsidRDefault="000611EC" w:rsidP="004F219E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EF44398" w14:textId="4B5D7763" w:rsidR="000611EC" w:rsidRPr="002F3743" w:rsidRDefault="006F2DC6" w:rsidP="004F219E">
            <w:pPr>
              <w:ind w:left="9"/>
              <w:jc w:val="center"/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0</w:t>
            </w:r>
            <w:r w:rsidR="00AA68DE">
              <w:rPr>
                <w:b/>
                <w:bCs/>
                <w:noProof/>
                <w:color w:val="000000" w:themeColor="text1"/>
              </w:rPr>
              <w:t>5</w:t>
            </w:r>
            <w:r w:rsidR="000611EC">
              <w:rPr>
                <w:b/>
                <w:bCs/>
                <w:noProof/>
                <w:color w:val="000000" w:themeColor="text1"/>
              </w:rPr>
              <w:t>/</w:t>
            </w:r>
            <w:r w:rsidR="00AA68DE">
              <w:rPr>
                <w:b/>
                <w:bCs/>
                <w:noProof/>
                <w:color w:val="000000" w:themeColor="text1"/>
              </w:rPr>
              <w:t>1</w:t>
            </w:r>
            <w:r>
              <w:rPr>
                <w:b/>
                <w:bCs/>
                <w:noProof/>
                <w:color w:val="000000" w:themeColor="text1"/>
              </w:rPr>
              <w:t>1</w:t>
            </w:r>
            <w:r w:rsidR="000611EC" w:rsidRPr="002F3743">
              <w:rPr>
                <w:b/>
                <w:bCs/>
                <w:noProof/>
                <w:color w:val="000000" w:themeColor="text1"/>
              </w:rPr>
              <w:t>/2024</w:t>
            </w:r>
          </w:p>
          <w:p w14:paraId="3BD2064B" w14:textId="77777777" w:rsidR="000611EC" w:rsidRPr="002F3743" w:rsidRDefault="000611EC" w:rsidP="004F219E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0348508E" w14:textId="77777777" w:rsidR="000611EC" w:rsidRPr="002F3743" w:rsidRDefault="000611EC" w:rsidP="004F219E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Pr="002F374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A</w:t>
            </w:r>
            <w:r w:rsidRPr="002F3743">
              <w:rPr>
                <w:b/>
                <w:bCs/>
                <w:color w:val="000000" w:themeColor="text1"/>
              </w:rPr>
              <w:t>M to</w:t>
            </w:r>
          </w:p>
          <w:p w14:paraId="0846FAE2" w14:textId="782414E7" w:rsidR="000611EC" w:rsidRPr="002F3743" w:rsidRDefault="00AA68DE" w:rsidP="004F219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  <w:r w:rsidR="000611EC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3</w:t>
            </w:r>
            <w:r w:rsidR="000611EC">
              <w:rPr>
                <w:b/>
                <w:bCs/>
                <w:color w:val="000000" w:themeColor="text1"/>
              </w:rPr>
              <w:t>0</w:t>
            </w:r>
            <w:r w:rsidR="000611EC" w:rsidRPr="002F3743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="000611EC" w:rsidRPr="002F3743">
              <w:rPr>
                <w:b/>
                <w:bCs/>
                <w:color w:val="000000" w:themeColor="text1"/>
              </w:rPr>
              <w:t>M</w:t>
            </w:r>
            <w:r w:rsidR="000611EC"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6A024840" w14:textId="77777777" w:rsidR="000611EC" w:rsidRDefault="000611EC" w:rsidP="000611EC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749AB662" w14:textId="77777777" w:rsidR="000611EC" w:rsidRPr="00632236" w:rsidRDefault="000611EC" w:rsidP="000611EC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6E53C675" w14:textId="77777777" w:rsidR="000611EC" w:rsidRPr="00632236" w:rsidRDefault="000611EC" w:rsidP="000611EC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1EF17642" w14:textId="77777777" w:rsidR="000611EC" w:rsidRPr="00632236" w:rsidRDefault="000611EC" w:rsidP="000611EC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lastRenderedPageBreak/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30529047" w14:textId="77777777" w:rsidR="000611EC" w:rsidRPr="00D13F78" w:rsidRDefault="000611EC" w:rsidP="000611EC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6A75C683" w14:textId="77777777" w:rsidR="000611EC" w:rsidRPr="00632236" w:rsidRDefault="000611EC" w:rsidP="000611EC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434D7DCF" w14:textId="77777777" w:rsidR="000611EC" w:rsidRPr="00632236" w:rsidRDefault="000611EC" w:rsidP="000611EC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0EE04F76" w14:textId="77777777" w:rsidR="000611EC" w:rsidRPr="00632236" w:rsidRDefault="000611EC" w:rsidP="000611EC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2FCD71E7" w14:textId="2DDC7321" w:rsidR="000611EC" w:rsidRDefault="000611EC" w:rsidP="000611EC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the Authorized Officer of IHFPL,</w:t>
      </w:r>
      <w:r w:rsidR="009616CC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Piyush Patel – 9925111077</w:t>
      </w:r>
    </w:p>
    <w:p w14:paraId="277109BA" w14:textId="77777777" w:rsidR="003D2C04" w:rsidRPr="00632236" w:rsidRDefault="003D2C04" w:rsidP="000611EC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779777DE" w14:textId="77777777" w:rsidR="000611EC" w:rsidRPr="00632236" w:rsidRDefault="000611EC" w:rsidP="000611EC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08DE6E65" w14:textId="77777777" w:rsidR="000611EC" w:rsidRPr="00632236" w:rsidRDefault="000611EC" w:rsidP="000611EC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583DDE26" w14:textId="77777777" w:rsidR="000611EC" w:rsidRPr="00632236" w:rsidRDefault="000611EC" w:rsidP="000611EC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Surat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8804041" w14:textId="77777777" w:rsidR="000611EC" w:rsidRPr="00632236" w:rsidRDefault="000611EC" w:rsidP="000611EC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Home Finance Private Limited</w:t>
      </w:r>
      <w:bookmarkEnd w:id="0"/>
    </w:p>
    <w:p w14:paraId="3FF8296D" w14:textId="77777777" w:rsidR="008939A8" w:rsidRDefault="008939A8"/>
    <w:sectPr w:rsidR="008939A8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EC"/>
    <w:rsid w:val="00011B53"/>
    <w:rsid w:val="000611EC"/>
    <w:rsid w:val="003D2C04"/>
    <w:rsid w:val="004E77D3"/>
    <w:rsid w:val="006A054E"/>
    <w:rsid w:val="006F2DC6"/>
    <w:rsid w:val="007E103A"/>
    <w:rsid w:val="00873CF5"/>
    <w:rsid w:val="008939A8"/>
    <w:rsid w:val="009616CC"/>
    <w:rsid w:val="00A8016C"/>
    <w:rsid w:val="00AA52AB"/>
    <w:rsid w:val="00AA68DE"/>
    <w:rsid w:val="00F75FBE"/>
    <w:rsid w:val="00F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1022"/>
  <w15:chartTrackingRefBased/>
  <w15:docId w15:val="{8759900A-C82F-4ACF-B5A0-DD611B9C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0611EC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0611E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0611E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611EC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3</cp:revision>
  <dcterms:created xsi:type="dcterms:W3CDTF">2024-10-15T11:36:00Z</dcterms:created>
  <dcterms:modified xsi:type="dcterms:W3CDTF">2024-10-15T11:36:00Z</dcterms:modified>
</cp:coreProperties>
</file>